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515" w:rsidRPr="00881976" w:rsidRDefault="003F4515" w:rsidP="003F4515">
      <w:pPr>
        <w:rPr>
          <w:rFonts w:ascii="Times New Roman" w:hAnsi="Times New Roman" w:cs="Times New Roman"/>
        </w:rPr>
      </w:pPr>
      <w:r w:rsidRPr="00881976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3C7A6C9F" wp14:editId="3FA5EB79">
            <wp:extent cx="5943600" cy="2458529"/>
            <wp:effectExtent l="0" t="0" r="19050" b="18415"/>
            <wp:docPr id="3" name="Chart 3" title="TBE Seasonality: Number of TBE cases, regardless of the applied case definition, by month of onset reported in nine EU/EFTA countries, 2000–2010 (n= 7 083)  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F4515" w:rsidRPr="00572D34" w:rsidRDefault="00572D34" w:rsidP="003F4515">
      <w:pPr>
        <w:pStyle w:val="Caption"/>
        <w:rPr>
          <w:rFonts w:ascii="Times New Roman" w:hAnsi="Times New Roman" w:cs="Times New Roman"/>
          <w:iCs/>
        </w:rPr>
      </w:pPr>
      <w:proofErr w:type="gramStart"/>
      <w:r w:rsidRPr="00BA359D">
        <w:rPr>
          <w:rFonts w:ascii="Times New Roman" w:hAnsi="Times New Roman" w:cs="Times New Roman"/>
          <w:iCs/>
          <w:color w:val="auto"/>
          <w:sz w:val="24"/>
          <w:szCs w:val="24"/>
        </w:rPr>
        <w:t>Figure 4.</w:t>
      </w:r>
      <w:proofErr w:type="gramEnd"/>
      <w:r w:rsidRPr="00BA359D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TBE Seasonality: Number of TBE cases by month of onset reported in nine EU/EFTA countrie</w:t>
      </w:r>
      <w:bookmarkStart w:id="0" w:name="_GoBack"/>
      <w:bookmarkEnd w:id="0"/>
      <w:r w:rsidRPr="00BA359D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s, 2000–2010 (n= 7 083) </w:t>
      </w:r>
      <w:r w:rsidR="00124FEB" w:rsidRPr="00BA359D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 </w:t>
      </w:r>
      <w:r w:rsidR="003F4515" w:rsidRPr="00BA359D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source: </w:t>
      </w:r>
      <w:r w:rsidR="003F4515" w:rsidRPr="2F170611">
        <w:rPr>
          <w:rFonts w:ascii="Times New Roman" w:hAnsi="Times New Roman" w:cs="Times New Roman"/>
          <w:i/>
          <w:iCs/>
          <w:color w:val="000000" w:themeColor="text1"/>
          <w:lang w:eastAsia="en-US"/>
        </w:rPr>
        <w:t>Data from ECDC</w:t>
      </w:r>
      <w:r w:rsidR="003F4515" w:rsidRPr="2F170611">
        <w:rPr>
          <w:rFonts w:ascii="Times New Roman" w:hAnsi="Times New Roman" w:cs="Times New Roman"/>
          <w:i/>
          <w:iCs/>
        </w:rPr>
        <w:t xml:space="preserve"> (https://register.ecdc.europa.eu/)</w:t>
      </w:r>
    </w:p>
    <w:p w:rsidR="00E7225A" w:rsidRDefault="00E40DB7"/>
    <w:sectPr w:rsidR="00E72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15"/>
    <w:rsid w:val="00124FEB"/>
    <w:rsid w:val="003F4515"/>
    <w:rsid w:val="00572D34"/>
    <w:rsid w:val="009D18FA"/>
    <w:rsid w:val="00A6290A"/>
    <w:rsid w:val="00BA359D"/>
    <w:rsid w:val="00E4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F4515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5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5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F4515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5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ncephalitis\DataTB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23"/>
    </mc:Choice>
    <mc:Fallback>
      <c:style val="2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536087291158996"/>
          <c:y val="1.5495178124971884E-2"/>
          <c:w val="0.85539100881620567"/>
          <c:h val="0.79595636270576819"/>
        </c:manualLayout>
      </c:layout>
      <c:lineChart>
        <c:grouping val="standard"/>
        <c:varyColors val="0"/>
        <c:ser>
          <c:idx val="0"/>
          <c:order val="0"/>
          <c:tx>
            <c:strRef>
              <c:f>'2000-14'!$L$33</c:f>
              <c:strCache>
                <c:ptCount val="1"/>
                <c:pt idx="0">
                  <c:v>NumberCases</c:v>
                </c:pt>
              </c:strCache>
            </c:strRef>
          </c:tx>
          <c:cat>
            <c:strRef>
              <c:f>'2000-14'!$K$34:$K$45</c:f>
              <c:strCache>
                <c:ptCount val="12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>'2000-14'!$L$34:$L$45</c:f>
              <c:numCache>
                <c:formatCode>General</c:formatCode>
                <c:ptCount val="12"/>
                <c:pt idx="0">
                  <c:v>11</c:v>
                </c:pt>
                <c:pt idx="1">
                  <c:v>6</c:v>
                </c:pt>
                <c:pt idx="2">
                  <c:v>8</c:v>
                </c:pt>
                <c:pt idx="3">
                  <c:v>62</c:v>
                </c:pt>
                <c:pt idx="4">
                  <c:v>294</c:v>
                </c:pt>
                <c:pt idx="5">
                  <c:v>779</c:v>
                </c:pt>
                <c:pt idx="6">
                  <c:v>1390</c:v>
                </c:pt>
                <c:pt idx="7">
                  <c:v>1426</c:v>
                </c:pt>
                <c:pt idx="8">
                  <c:v>1345</c:v>
                </c:pt>
                <c:pt idx="9">
                  <c:v>1285</c:v>
                </c:pt>
                <c:pt idx="10">
                  <c:v>364</c:v>
                </c:pt>
                <c:pt idx="11">
                  <c:v>113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EE5-4280-9044-25F7898DD977}"/>
            </c:ext>
          </c:extLst>
        </c:ser>
        <c:ser>
          <c:idx val="1"/>
          <c:order val="1"/>
          <c:cat>
            <c:strRef>
              <c:f>'2000-14'!$F$32</c:f>
              <c:strCache>
                <c:ptCount val="1"/>
                <c:pt idx="0">
                  <c:v>TBE Seasonality: Number of TBE cases, regardless of the applied case definition, by month of onset reported in nine EU/EFTA countries, 2000–2010 (n= 7 083)</c:v>
                </c:pt>
              </c:strCache>
            </c:strRef>
          </c:cat>
          <c:val>
            <c:numRef>
              <c:f>'2000-14'!$G$32</c:f>
              <c:numCache>
                <c:formatCode>General</c:formatCode>
                <c:ptCount val="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EE5-4280-9044-25F7898DD977}"/>
            </c:ext>
          </c:extLst>
        </c:ser>
        <c:ser>
          <c:idx val="2"/>
          <c:order val="2"/>
          <c:cat>
            <c:strRef>
              <c:f>'2000-14'!$F$32</c:f>
              <c:strCache>
                <c:ptCount val="1"/>
                <c:pt idx="0">
                  <c:v>TBE Seasonality: Number of TBE cases, regardless of the applied case definition, by month of onset reported in nine EU/EFTA countries, 2000–2010 (n= 7 083)</c:v>
                </c:pt>
              </c:strCache>
            </c:strRef>
          </c:cat>
          <c:val>
            <c:numRef>
              <c:f>'2000-14'!$H$32</c:f>
              <c:numCache>
                <c:formatCode>General</c:formatCode>
                <c:ptCount val="1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EE5-4280-9044-25F7898DD9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/>
        <c:marker val="1"/>
        <c:smooth val="0"/>
        <c:axId val="335292672"/>
        <c:axId val="335298944"/>
      </c:lineChart>
      <c:catAx>
        <c:axId val="3352926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</a:t>
                </a:r>
              </a:p>
            </c:rich>
          </c:tx>
          <c:overlay val="0"/>
        </c:title>
        <c:numFmt formatCode="General" sourceLinked="0"/>
        <c:majorTickMark val="none"/>
        <c:minorTickMark val="none"/>
        <c:tickLblPos val="nextTo"/>
        <c:crossAx val="335298944"/>
        <c:crosses val="autoZero"/>
        <c:auto val="1"/>
        <c:lblAlgn val="ctr"/>
        <c:lblOffset val="100"/>
        <c:noMultiLvlLbl val="0"/>
      </c:catAx>
      <c:valAx>
        <c:axId val="33529894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cases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35292672"/>
        <c:crosses val="autoZero"/>
        <c:crossBetween val="between"/>
      </c:valAx>
      <c:spPr>
        <a:pattFill prst="pct5">
          <a:fgClr>
            <a:schemeClr val="accent1"/>
          </a:fgClr>
          <a:bgClr>
            <a:schemeClr val="bg1"/>
          </a:bgClr>
        </a:pattFill>
      </c:spPr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</dc:creator>
  <cp:lastModifiedBy>MW</cp:lastModifiedBy>
  <cp:revision>5</cp:revision>
  <dcterms:created xsi:type="dcterms:W3CDTF">2021-03-16T10:08:00Z</dcterms:created>
  <dcterms:modified xsi:type="dcterms:W3CDTF">2021-04-02T10:04:00Z</dcterms:modified>
</cp:coreProperties>
</file>